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6C1" w:rsidRDefault="007B66C1" w:rsidP="007B66C1">
      <w:pPr>
        <w:tabs>
          <w:tab w:val="left" w:pos="12780"/>
        </w:tabs>
        <w:rPr>
          <w:rFonts w:ascii="Arial" w:hAnsi="Arial" w:cs="Arial"/>
          <w:b/>
          <w:sz w:val="20"/>
        </w:rPr>
      </w:pPr>
      <w:r>
        <w:rPr>
          <w:rFonts w:ascii="Arial" w:hAnsi="Arial" w:cs="Arial"/>
          <w:b/>
          <w:sz w:val="20"/>
        </w:rPr>
        <w:t xml:space="preserve">Total Compensation Report </w:t>
      </w:r>
    </w:p>
    <w:p w:rsidR="007B66C1" w:rsidRDefault="007B66C1" w:rsidP="007B66C1">
      <w:pPr>
        <w:tabs>
          <w:tab w:val="left" w:pos="12780"/>
        </w:tabs>
        <w:rPr>
          <w:rFonts w:ascii="Arial" w:hAnsi="Arial" w:cs="Arial"/>
          <w:b/>
          <w:sz w:val="20"/>
        </w:rPr>
      </w:pPr>
    </w:p>
    <w:p w:rsidR="007B66C1" w:rsidRPr="00DE195A" w:rsidRDefault="007B66C1" w:rsidP="007B66C1">
      <w:pPr>
        <w:tabs>
          <w:tab w:val="left" w:pos="12780"/>
        </w:tabs>
        <w:rPr>
          <w:rFonts w:ascii="Arial" w:hAnsi="Arial" w:cs="Arial"/>
          <w:sz w:val="20"/>
        </w:rPr>
      </w:pPr>
      <w:r w:rsidRPr="00DE195A">
        <w:rPr>
          <w:rFonts w:ascii="Arial" w:hAnsi="Arial" w:cs="Arial"/>
          <w:b/>
          <w:sz w:val="20"/>
        </w:rPr>
        <w:t>BACKGROUND:</w:t>
      </w:r>
    </w:p>
    <w:p w:rsidR="007B66C1" w:rsidRPr="00DE195A" w:rsidRDefault="007B66C1" w:rsidP="007B66C1">
      <w:pPr>
        <w:rPr>
          <w:rFonts w:ascii="Arial" w:hAnsi="Arial" w:cs="Arial"/>
          <w:sz w:val="20"/>
        </w:rPr>
      </w:pPr>
      <w:r w:rsidRPr="00DE195A">
        <w:rPr>
          <w:rFonts w:ascii="Arial" w:hAnsi="Arial" w:cs="Arial"/>
          <w:sz w:val="20"/>
        </w:rPr>
        <w:t xml:space="preserve">In November 2000, the </w:t>
      </w:r>
      <w:r>
        <w:rPr>
          <w:rFonts w:ascii="Arial" w:hAnsi="Arial" w:cs="Arial"/>
          <w:sz w:val="20"/>
        </w:rPr>
        <w:t xml:space="preserve">Board of Supervisors and the </w:t>
      </w:r>
      <w:r w:rsidRPr="00DE195A">
        <w:rPr>
          <w:rFonts w:ascii="Arial" w:hAnsi="Arial" w:cs="Arial"/>
          <w:sz w:val="20"/>
        </w:rPr>
        <w:t>School Board approved a Total Compensation Strategy to target employee salaries at 100% of an adopted market median and benefits slightly above market levels. The adopted market approved by the Boards is shown in Att</w:t>
      </w:r>
      <w:r>
        <w:rPr>
          <w:rFonts w:ascii="Arial" w:hAnsi="Arial" w:cs="Arial"/>
          <w:sz w:val="20"/>
        </w:rPr>
        <w:t xml:space="preserve">achment 1 and consists of 26 school divisions, 26 localities, 1 combined school division/local government and three other organizations. </w:t>
      </w:r>
      <w:r w:rsidRPr="00DE195A">
        <w:rPr>
          <w:rFonts w:ascii="Arial" w:hAnsi="Arial" w:cs="Arial"/>
          <w:sz w:val="20"/>
        </w:rPr>
        <w:t xml:space="preserve">   </w:t>
      </w:r>
    </w:p>
    <w:p w:rsidR="007B66C1" w:rsidRPr="00325FBA" w:rsidRDefault="007B66C1" w:rsidP="007B66C1">
      <w:pPr>
        <w:rPr>
          <w:rFonts w:ascii="Arial" w:hAnsi="Arial" w:cs="Arial"/>
          <w:sz w:val="16"/>
          <w:szCs w:val="16"/>
        </w:rPr>
      </w:pPr>
    </w:p>
    <w:p w:rsidR="007B66C1" w:rsidRPr="00DE195A" w:rsidRDefault="007B66C1" w:rsidP="007B66C1">
      <w:pPr>
        <w:rPr>
          <w:rFonts w:ascii="Arial" w:hAnsi="Arial" w:cs="Arial"/>
          <w:sz w:val="20"/>
        </w:rPr>
      </w:pPr>
      <w:r w:rsidRPr="00DE195A">
        <w:rPr>
          <w:rFonts w:ascii="Arial" w:hAnsi="Arial" w:cs="Arial"/>
          <w:sz w:val="20"/>
        </w:rPr>
        <w:t>The Board</w:t>
      </w:r>
      <w:r>
        <w:rPr>
          <w:rFonts w:ascii="Arial" w:hAnsi="Arial" w:cs="Arial"/>
          <w:sz w:val="20"/>
        </w:rPr>
        <w:t>s</w:t>
      </w:r>
      <w:r w:rsidRPr="00DE195A">
        <w:rPr>
          <w:rFonts w:ascii="Arial" w:hAnsi="Arial" w:cs="Arial"/>
          <w:sz w:val="20"/>
        </w:rPr>
        <w:t xml:space="preserve"> ha</w:t>
      </w:r>
      <w:r>
        <w:rPr>
          <w:rFonts w:ascii="Arial" w:hAnsi="Arial" w:cs="Arial"/>
          <w:sz w:val="20"/>
        </w:rPr>
        <w:t>ve</w:t>
      </w:r>
      <w:r w:rsidRPr="00DE195A">
        <w:rPr>
          <w:rFonts w:ascii="Arial" w:hAnsi="Arial" w:cs="Arial"/>
          <w:sz w:val="20"/>
        </w:rPr>
        <w:t xml:space="preserve"> continued to recognize the importance of providing competitive salaries and benefits.  As indicated in the recent Human Resources Annual Report, an increasing number of employees reach eligibility for </w:t>
      </w:r>
      <w:r w:rsidRPr="00DE195A">
        <w:rPr>
          <w:rFonts w:ascii="Arial" w:hAnsi="Arial"/>
          <w:sz w:val="20"/>
        </w:rPr>
        <w:t>retirement benefits every year</w:t>
      </w:r>
      <w:r w:rsidRPr="00DE195A">
        <w:rPr>
          <w:rFonts w:ascii="Arial" w:hAnsi="Arial" w:cs="Arial"/>
          <w:sz w:val="20"/>
        </w:rPr>
        <w:t xml:space="preserve">.  As it is critical for Albemarle County to focus on retaining </w:t>
      </w:r>
      <w:r>
        <w:rPr>
          <w:rFonts w:ascii="Arial" w:hAnsi="Arial" w:cs="Arial"/>
          <w:sz w:val="20"/>
        </w:rPr>
        <w:t>existing</w:t>
      </w:r>
      <w:r w:rsidRPr="00DE195A">
        <w:rPr>
          <w:rFonts w:ascii="Arial" w:hAnsi="Arial" w:cs="Arial"/>
          <w:sz w:val="20"/>
        </w:rPr>
        <w:t xml:space="preserve"> employees and recruiting skilled </w:t>
      </w:r>
      <w:r>
        <w:rPr>
          <w:rFonts w:ascii="Arial" w:hAnsi="Arial" w:cs="Arial"/>
          <w:sz w:val="20"/>
        </w:rPr>
        <w:t>new employees</w:t>
      </w:r>
      <w:r w:rsidRPr="00DE195A">
        <w:rPr>
          <w:rFonts w:ascii="Arial" w:hAnsi="Arial" w:cs="Arial"/>
          <w:sz w:val="20"/>
        </w:rPr>
        <w:t xml:space="preserve">, the County’s total compensation plan is designed and evaluated in light of those objectives.   </w:t>
      </w:r>
    </w:p>
    <w:p w:rsidR="007B66C1" w:rsidRPr="00325FBA" w:rsidRDefault="007B66C1" w:rsidP="007B66C1">
      <w:pPr>
        <w:rPr>
          <w:rFonts w:ascii="Arial" w:hAnsi="Arial" w:cs="Arial"/>
          <w:sz w:val="16"/>
          <w:szCs w:val="16"/>
        </w:rPr>
      </w:pPr>
    </w:p>
    <w:p w:rsidR="007B66C1" w:rsidRPr="00DE195A" w:rsidRDefault="007B66C1" w:rsidP="007B66C1">
      <w:pPr>
        <w:rPr>
          <w:rFonts w:ascii="Arial" w:hAnsi="Arial" w:cs="Arial"/>
          <w:sz w:val="20"/>
        </w:rPr>
      </w:pPr>
      <w:r w:rsidRPr="00DE195A">
        <w:rPr>
          <w:rFonts w:ascii="Arial" w:hAnsi="Arial" w:cs="Arial"/>
          <w:sz w:val="20"/>
        </w:rPr>
        <w:t>This report details the supporting analysis for the recommendations to achieve the adopted Total Compensation Strategy for last year and for the Boards to consider in giving budget guidance to the County Executive and Superintendent for next year.  These projections are presented to the Boards for their information regarding the FY11-12 budget process.  It is noted that all final funding</w:t>
      </w:r>
      <w:r>
        <w:rPr>
          <w:rFonts w:ascii="Arial" w:hAnsi="Arial" w:cs="Arial"/>
          <w:sz w:val="20"/>
        </w:rPr>
        <w:t xml:space="preserve"> to implement these recommendations</w:t>
      </w:r>
      <w:r w:rsidRPr="00DE195A">
        <w:rPr>
          <w:rFonts w:ascii="Arial" w:hAnsi="Arial" w:cs="Arial"/>
          <w:sz w:val="20"/>
        </w:rPr>
        <w:t xml:space="preserve"> is subject to, and based upon, available revenues and Board direction. This report provides information on:</w:t>
      </w:r>
    </w:p>
    <w:p w:rsidR="007B66C1" w:rsidRPr="00DE195A" w:rsidRDefault="007B66C1" w:rsidP="007B66C1">
      <w:pPr>
        <w:pStyle w:val="ListParagraph"/>
        <w:numPr>
          <w:ilvl w:val="0"/>
          <w:numId w:val="1"/>
        </w:numPr>
        <w:rPr>
          <w:rFonts w:ascii="Arial" w:hAnsi="Arial" w:cs="Arial"/>
          <w:b/>
          <w:sz w:val="20"/>
          <w:szCs w:val="20"/>
        </w:rPr>
      </w:pPr>
      <w:r w:rsidRPr="00DE195A">
        <w:rPr>
          <w:rFonts w:ascii="Arial" w:hAnsi="Arial" w:cs="Arial"/>
          <w:sz w:val="20"/>
          <w:szCs w:val="20"/>
        </w:rPr>
        <w:t>Compensation Strategies ( Attachments 2 and 3)</w:t>
      </w:r>
    </w:p>
    <w:p w:rsidR="007B66C1" w:rsidRPr="00DE195A" w:rsidRDefault="007B66C1" w:rsidP="007B66C1">
      <w:pPr>
        <w:pStyle w:val="ListParagraph"/>
        <w:numPr>
          <w:ilvl w:val="0"/>
          <w:numId w:val="1"/>
        </w:numPr>
        <w:rPr>
          <w:rFonts w:ascii="Arial" w:hAnsi="Arial" w:cs="Arial"/>
          <w:b/>
          <w:sz w:val="20"/>
          <w:szCs w:val="20"/>
        </w:rPr>
      </w:pPr>
      <w:r w:rsidRPr="00DE195A">
        <w:rPr>
          <w:rFonts w:ascii="Arial" w:hAnsi="Arial" w:cs="Arial"/>
          <w:sz w:val="20"/>
          <w:szCs w:val="20"/>
        </w:rPr>
        <w:t>Benefits Strategies: Medical, Dental and VRS (Attachments 4 and 5 )</w:t>
      </w:r>
    </w:p>
    <w:p w:rsidR="007B66C1" w:rsidRPr="006345D5" w:rsidRDefault="007B66C1" w:rsidP="007B66C1">
      <w:pPr>
        <w:pStyle w:val="ListParagraph"/>
        <w:numPr>
          <w:ilvl w:val="0"/>
          <w:numId w:val="1"/>
        </w:numPr>
        <w:rPr>
          <w:rFonts w:ascii="Arial" w:hAnsi="Arial" w:cs="Arial"/>
        </w:rPr>
      </w:pPr>
      <w:r w:rsidRPr="006345D5">
        <w:rPr>
          <w:rFonts w:ascii="Arial" w:hAnsi="Arial" w:cs="Arial"/>
          <w:sz w:val="20"/>
          <w:szCs w:val="20"/>
        </w:rPr>
        <w:t xml:space="preserve">Wellness Updates (Attachment 6) </w:t>
      </w:r>
    </w:p>
    <w:p w:rsidR="007B66C1" w:rsidRDefault="007B66C1" w:rsidP="007B66C1">
      <w:pPr>
        <w:tabs>
          <w:tab w:val="left" w:pos="12780"/>
        </w:tabs>
        <w:rPr>
          <w:rFonts w:ascii="Arial" w:hAnsi="Arial" w:cs="Arial"/>
          <w:b/>
          <w:sz w:val="20"/>
        </w:rPr>
      </w:pPr>
      <w:r w:rsidRPr="00DE195A">
        <w:rPr>
          <w:rFonts w:ascii="Arial" w:hAnsi="Arial" w:cs="Arial"/>
          <w:b/>
          <w:sz w:val="20"/>
        </w:rPr>
        <w:t>DISCUSSION:</w:t>
      </w:r>
    </w:p>
    <w:p w:rsidR="007B66C1" w:rsidRPr="00DE195A" w:rsidRDefault="007B66C1" w:rsidP="007B66C1">
      <w:pPr>
        <w:tabs>
          <w:tab w:val="left" w:pos="12780"/>
        </w:tabs>
        <w:rPr>
          <w:rFonts w:ascii="Arial" w:hAnsi="Arial" w:cs="Arial"/>
          <w:sz w:val="20"/>
        </w:rPr>
      </w:pPr>
    </w:p>
    <w:p w:rsidR="007B66C1" w:rsidRPr="005E7835" w:rsidRDefault="007B66C1" w:rsidP="007B66C1">
      <w:pPr>
        <w:rPr>
          <w:rFonts w:ascii="Arial" w:hAnsi="Arial" w:cs="Arial"/>
          <w:b/>
          <w:sz w:val="20"/>
        </w:rPr>
      </w:pPr>
      <w:bookmarkStart w:id="0" w:name="recommendation"/>
      <w:bookmarkEnd w:id="0"/>
      <w:r w:rsidRPr="005E7835">
        <w:rPr>
          <w:rFonts w:ascii="Arial" w:hAnsi="Arial" w:cs="Arial"/>
          <w:b/>
          <w:sz w:val="20"/>
        </w:rPr>
        <w:t>1) Compensation Strategies</w:t>
      </w:r>
    </w:p>
    <w:p w:rsidR="007B66C1" w:rsidRPr="008D3BFC" w:rsidRDefault="007B66C1" w:rsidP="007B66C1">
      <w:pPr>
        <w:rPr>
          <w:rFonts w:ascii="Arial" w:hAnsi="Arial" w:cs="Arial"/>
          <w:sz w:val="8"/>
        </w:rPr>
      </w:pPr>
    </w:p>
    <w:p w:rsidR="007B66C1" w:rsidRDefault="007B66C1" w:rsidP="007B66C1">
      <w:pPr>
        <w:rPr>
          <w:rFonts w:ascii="Arial" w:hAnsi="Arial" w:cs="Arial"/>
          <w:sz w:val="20"/>
        </w:rPr>
      </w:pPr>
      <w:r w:rsidRPr="00DE195A">
        <w:rPr>
          <w:rFonts w:ascii="Arial" w:hAnsi="Arial" w:cs="Arial"/>
          <w:sz w:val="20"/>
        </w:rPr>
        <w:t xml:space="preserve">The adopted </w:t>
      </w:r>
      <w:r>
        <w:rPr>
          <w:rFonts w:ascii="Arial" w:hAnsi="Arial" w:cs="Arial"/>
          <w:sz w:val="20"/>
        </w:rPr>
        <w:t>Total Compensation St</w:t>
      </w:r>
      <w:r w:rsidRPr="00DE195A">
        <w:rPr>
          <w:rFonts w:ascii="Arial" w:hAnsi="Arial" w:cs="Arial"/>
          <w:sz w:val="20"/>
        </w:rPr>
        <w:t>rategy</w:t>
      </w:r>
      <w:r>
        <w:rPr>
          <w:rFonts w:ascii="Arial" w:hAnsi="Arial" w:cs="Arial"/>
          <w:sz w:val="20"/>
        </w:rPr>
        <w:t>,</w:t>
      </w:r>
      <w:r w:rsidRPr="00DE195A">
        <w:rPr>
          <w:rFonts w:ascii="Arial" w:hAnsi="Arial" w:cs="Arial"/>
          <w:sz w:val="20"/>
        </w:rPr>
        <w:t xml:space="preserve"> </w:t>
      </w:r>
      <w:r>
        <w:rPr>
          <w:rFonts w:ascii="Arial" w:hAnsi="Arial" w:cs="Arial"/>
          <w:sz w:val="20"/>
        </w:rPr>
        <w:t xml:space="preserve">jointly adopted by the Board of Supervisors and School Board, </w:t>
      </w:r>
      <w:r w:rsidRPr="00DE195A">
        <w:rPr>
          <w:rFonts w:ascii="Arial" w:hAnsi="Arial" w:cs="Arial"/>
          <w:sz w:val="20"/>
        </w:rPr>
        <w:t xml:space="preserve">is detailed in Attachments 2 and 3.  Last year, the projections based on the adopted </w:t>
      </w:r>
      <w:r>
        <w:rPr>
          <w:rFonts w:ascii="Arial" w:hAnsi="Arial" w:cs="Arial"/>
          <w:sz w:val="20"/>
        </w:rPr>
        <w:t>strategy</w:t>
      </w:r>
      <w:r w:rsidRPr="00DE195A">
        <w:rPr>
          <w:rFonts w:ascii="Arial" w:hAnsi="Arial" w:cs="Arial"/>
          <w:sz w:val="20"/>
        </w:rPr>
        <w:t xml:space="preserve"> presented in October were to increase the classified salary scale by 1%, fund a classified merit increase of 2.88% and fund teacher increases by 2.25%.  However, due to revenue shortfalls</w:t>
      </w:r>
      <w:r>
        <w:rPr>
          <w:rFonts w:ascii="Arial" w:hAnsi="Arial" w:cs="Arial"/>
          <w:sz w:val="20"/>
        </w:rPr>
        <w:t xml:space="preserve"> and the prevailing market trend of no increases</w:t>
      </w:r>
      <w:r w:rsidRPr="00DE195A">
        <w:rPr>
          <w:rFonts w:ascii="Arial" w:hAnsi="Arial" w:cs="Arial"/>
          <w:sz w:val="20"/>
        </w:rPr>
        <w:t xml:space="preserve">, </w:t>
      </w:r>
      <w:r>
        <w:rPr>
          <w:rFonts w:ascii="Arial" w:hAnsi="Arial" w:cs="Arial"/>
          <w:sz w:val="20"/>
        </w:rPr>
        <w:t>the Boards</w:t>
      </w:r>
      <w:r w:rsidRPr="00DE195A">
        <w:rPr>
          <w:rFonts w:ascii="Arial" w:hAnsi="Arial" w:cs="Arial"/>
          <w:sz w:val="20"/>
        </w:rPr>
        <w:t xml:space="preserve"> neither changed the salary scale nor funded any salary or step increases for a second year. The attached information on the compensation strategy is provided to both Boards to consider regarding development of the FY11-12 budget.</w:t>
      </w:r>
    </w:p>
    <w:p w:rsidR="007B66C1" w:rsidRDefault="007B66C1" w:rsidP="007B66C1">
      <w:pPr>
        <w:rPr>
          <w:rFonts w:ascii="Arial" w:hAnsi="Arial" w:cs="Arial"/>
          <w:sz w:val="20"/>
        </w:rPr>
      </w:pPr>
    </w:p>
    <w:p w:rsidR="007B66C1" w:rsidRDefault="007B66C1" w:rsidP="007B66C1">
      <w:pPr>
        <w:rPr>
          <w:rFonts w:ascii="Arial" w:hAnsi="Arial" w:cs="Arial"/>
          <w:sz w:val="20"/>
        </w:rPr>
      </w:pPr>
      <w:r w:rsidRPr="006345D5">
        <w:rPr>
          <w:rFonts w:ascii="Arial" w:hAnsi="Arial" w:cs="Arial"/>
          <w:sz w:val="20"/>
        </w:rPr>
        <w:t xml:space="preserve">As the information in attachment 2 indicates, based on a review of our adopted market and the </w:t>
      </w:r>
      <w:proofErr w:type="spellStart"/>
      <w:r w:rsidRPr="006345D5">
        <w:rPr>
          <w:rFonts w:ascii="Arial" w:hAnsi="Arial" w:cs="Arial"/>
          <w:sz w:val="20"/>
        </w:rPr>
        <w:t>Worldatwork</w:t>
      </w:r>
      <w:proofErr w:type="spellEnd"/>
      <w:r w:rsidRPr="006345D5">
        <w:rPr>
          <w:rFonts w:ascii="Arial" w:hAnsi="Arial" w:cs="Arial"/>
          <w:sz w:val="20"/>
        </w:rPr>
        <w:t xml:space="preserve"> projection of 1.95%,</w:t>
      </w:r>
      <w:r>
        <w:rPr>
          <w:rFonts w:ascii="Arial" w:hAnsi="Arial" w:cs="Arial"/>
          <w:sz w:val="20"/>
        </w:rPr>
        <w:t xml:space="preserve"> </w:t>
      </w:r>
      <w:r w:rsidRPr="006345D5">
        <w:rPr>
          <w:rFonts w:ascii="Arial" w:hAnsi="Arial" w:cs="Arial"/>
          <w:sz w:val="20"/>
        </w:rPr>
        <w:t>the actions necessary to achieve the adopted strategy include: a 1% scale adjustment, 2.3% salary increase, and a teacher scale and step increase of 1.95%.</w:t>
      </w:r>
    </w:p>
    <w:p w:rsidR="007B66C1" w:rsidRPr="00DE195A" w:rsidRDefault="007B66C1" w:rsidP="007B66C1">
      <w:pPr>
        <w:rPr>
          <w:rFonts w:ascii="Arial" w:hAnsi="Arial" w:cs="Arial"/>
          <w:sz w:val="20"/>
        </w:rPr>
      </w:pPr>
      <w:r>
        <w:rPr>
          <w:rFonts w:ascii="Arial" w:hAnsi="Arial" w:cs="Arial"/>
          <w:sz w:val="20"/>
        </w:rPr>
        <w:t xml:space="preserve"> </w:t>
      </w:r>
    </w:p>
    <w:p w:rsidR="007B66C1" w:rsidRPr="005E7835" w:rsidRDefault="007B66C1" w:rsidP="007B66C1">
      <w:pPr>
        <w:rPr>
          <w:rFonts w:ascii="Arial" w:hAnsi="Arial" w:cs="Arial"/>
          <w:b/>
          <w:sz w:val="20"/>
        </w:rPr>
      </w:pPr>
      <w:r w:rsidRPr="005E7835">
        <w:rPr>
          <w:rFonts w:ascii="Arial" w:hAnsi="Arial" w:cs="Arial"/>
          <w:b/>
          <w:sz w:val="20"/>
        </w:rPr>
        <w:t>2) Benefits Strategies</w:t>
      </w:r>
    </w:p>
    <w:p w:rsidR="007B66C1" w:rsidRPr="008D3BFC" w:rsidRDefault="007B66C1" w:rsidP="007B66C1">
      <w:pPr>
        <w:rPr>
          <w:rFonts w:ascii="Arial" w:hAnsi="Arial" w:cs="Arial"/>
          <w:sz w:val="8"/>
        </w:rPr>
      </w:pPr>
    </w:p>
    <w:p w:rsidR="007B66C1" w:rsidRPr="00DE195A" w:rsidRDefault="007B66C1" w:rsidP="007B66C1">
      <w:pPr>
        <w:rPr>
          <w:rFonts w:ascii="Arial" w:hAnsi="Arial" w:cs="Arial"/>
          <w:sz w:val="20"/>
        </w:rPr>
      </w:pPr>
      <w:r w:rsidRPr="00DE195A">
        <w:rPr>
          <w:rFonts w:ascii="Arial" w:hAnsi="Arial" w:cs="Arial"/>
          <w:sz w:val="20"/>
        </w:rPr>
        <w:t xml:space="preserve">The adopted </w:t>
      </w:r>
      <w:r>
        <w:rPr>
          <w:rFonts w:ascii="Arial" w:hAnsi="Arial" w:cs="Arial"/>
          <w:sz w:val="20"/>
        </w:rPr>
        <w:t>B</w:t>
      </w:r>
      <w:r w:rsidRPr="00DE195A">
        <w:rPr>
          <w:rFonts w:ascii="Arial" w:hAnsi="Arial" w:cs="Arial"/>
          <w:sz w:val="20"/>
        </w:rPr>
        <w:t xml:space="preserve">enefits </w:t>
      </w:r>
      <w:r>
        <w:rPr>
          <w:rFonts w:ascii="Arial" w:hAnsi="Arial" w:cs="Arial"/>
          <w:sz w:val="20"/>
        </w:rPr>
        <w:t>S</w:t>
      </w:r>
      <w:r w:rsidRPr="00DE195A">
        <w:rPr>
          <w:rFonts w:ascii="Arial" w:hAnsi="Arial" w:cs="Arial"/>
          <w:sz w:val="20"/>
        </w:rPr>
        <w:t>trategy</w:t>
      </w:r>
      <w:r>
        <w:rPr>
          <w:rFonts w:ascii="Arial" w:hAnsi="Arial" w:cs="Arial"/>
          <w:sz w:val="20"/>
        </w:rPr>
        <w:t>, jointly adopted by the Board of Supervisors and School Board,</w:t>
      </w:r>
      <w:r w:rsidRPr="00DE195A">
        <w:rPr>
          <w:rFonts w:ascii="Arial" w:hAnsi="Arial" w:cs="Arial"/>
          <w:sz w:val="20"/>
        </w:rPr>
        <w:t xml:space="preserve"> is to maintain a benefit program that is slightly above market. Medical </w:t>
      </w:r>
      <w:r>
        <w:rPr>
          <w:rFonts w:ascii="Arial" w:hAnsi="Arial" w:cs="Arial"/>
          <w:sz w:val="20"/>
        </w:rPr>
        <w:t xml:space="preserve">and Dental </w:t>
      </w:r>
      <w:r w:rsidRPr="00DE195A">
        <w:rPr>
          <w:rFonts w:ascii="Arial" w:hAnsi="Arial" w:cs="Arial"/>
          <w:sz w:val="20"/>
        </w:rPr>
        <w:t>insurance and the VRS benefit are the largest components of that benefit strategy. The information provided in the attached Benefits Strategies</w:t>
      </w:r>
      <w:r>
        <w:rPr>
          <w:rFonts w:ascii="Arial" w:hAnsi="Arial" w:cs="Arial"/>
          <w:sz w:val="20"/>
        </w:rPr>
        <w:t xml:space="preserve"> (attachment 4)</w:t>
      </w:r>
      <w:r w:rsidRPr="00DE195A">
        <w:rPr>
          <w:rFonts w:ascii="Arial" w:hAnsi="Arial" w:cs="Arial"/>
          <w:sz w:val="20"/>
        </w:rPr>
        <w:t xml:space="preserve"> detail</w:t>
      </w:r>
      <w:r>
        <w:rPr>
          <w:rFonts w:ascii="Arial" w:hAnsi="Arial" w:cs="Arial"/>
          <w:sz w:val="20"/>
        </w:rPr>
        <w:t>s</w:t>
      </w:r>
      <w:r w:rsidRPr="00DE195A">
        <w:rPr>
          <w:rFonts w:ascii="Arial" w:hAnsi="Arial" w:cs="Arial"/>
          <w:sz w:val="20"/>
        </w:rPr>
        <w:t xml:space="preserve"> the analysis of those benefit programs and recommendations to remain consistent with the </w:t>
      </w:r>
      <w:r>
        <w:rPr>
          <w:rFonts w:ascii="Arial" w:hAnsi="Arial" w:cs="Arial"/>
          <w:sz w:val="20"/>
        </w:rPr>
        <w:t>j</w:t>
      </w:r>
      <w:r w:rsidRPr="00DE195A">
        <w:rPr>
          <w:rFonts w:ascii="Arial" w:hAnsi="Arial" w:cs="Arial"/>
          <w:sz w:val="20"/>
        </w:rPr>
        <w:t>oint</w:t>
      </w:r>
      <w:r>
        <w:rPr>
          <w:rFonts w:ascii="Arial" w:hAnsi="Arial" w:cs="Arial"/>
          <w:sz w:val="20"/>
        </w:rPr>
        <w:t xml:space="preserve">ly </w:t>
      </w:r>
      <w:r w:rsidRPr="00DE195A">
        <w:rPr>
          <w:rFonts w:ascii="Arial" w:hAnsi="Arial" w:cs="Arial"/>
          <w:sz w:val="20"/>
        </w:rPr>
        <w:t>adopted strategy.</w:t>
      </w:r>
    </w:p>
    <w:p w:rsidR="007B66C1" w:rsidRPr="00325FBA" w:rsidRDefault="007B66C1" w:rsidP="007B66C1">
      <w:pPr>
        <w:rPr>
          <w:rFonts w:ascii="Arial" w:hAnsi="Arial" w:cs="Arial"/>
          <w:sz w:val="16"/>
          <w:szCs w:val="16"/>
        </w:rPr>
      </w:pPr>
    </w:p>
    <w:p w:rsidR="007B66C1" w:rsidRPr="005E7835" w:rsidRDefault="007B66C1" w:rsidP="007B66C1">
      <w:pPr>
        <w:rPr>
          <w:rFonts w:ascii="Arial" w:hAnsi="Arial" w:cs="Arial"/>
          <w:sz w:val="20"/>
          <w:u w:val="single"/>
        </w:rPr>
      </w:pPr>
      <w:r w:rsidRPr="005E7835">
        <w:rPr>
          <w:rFonts w:ascii="Arial" w:hAnsi="Arial" w:cs="Arial"/>
          <w:sz w:val="20"/>
          <w:u w:val="single"/>
        </w:rPr>
        <w:t>Medical and Dental Coverage</w:t>
      </w:r>
    </w:p>
    <w:p w:rsidR="007B66C1" w:rsidRDefault="007B66C1" w:rsidP="007B66C1">
      <w:pPr>
        <w:rPr>
          <w:rFonts w:ascii="Arial" w:hAnsi="Arial" w:cs="Arial"/>
          <w:sz w:val="20"/>
        </w:rPr>
      </w:pPr>
      <w:r w:rsidRPr="00DE195A">
        <w:rPr>
          <w:rFonts w:ascii="Arial" w:hAnsi="Arial" w:cs="Arial"/>
          <w:sz w:val="20"/>
        </w:rPr>
        <w:t>To provide options for employees designed to meet individual needs and offer affordable health care choices</w:t>
      </w:r>
      <w:r>
        <w:rPr>
          <w:rFonts w:ascii="Arial" w:hAnsi="Arial" w:cs="Arial"/>
          <w:sz w:val="20"/>
        </w:rPr>
        <w:t>,</w:t>
      </w:r>
      <w:r w:rsidRPr="00DE195A">
        <w:rPr>
          <w:rFonts w:ascii="Arial" w:hAnsi="Arial" w:cs="Arial"/>
          <w:sz w:val="20"/>
        </w:rPr>
        <w:t xml:space="preserve"> three medical plans with varying deductibles, co-pays and premiums have been offered for several years.  In order to maintain comparability with other health plans and for cost savings, a number of plan design changes were implemented, particularly to the high plan which has a rich benefit compared to </w:t>
      </w:r>
      <w:r>
        <w:rPr>
          <w:rFonts w:ascii="Arial" w:hAnsi="Arial" w:cs="Arial"/>
          <w:sz w:val="20"/>
        </w:rPr>
        <w:t>the Boards’ adopted</w:t>
      </w:r>
      <w:r w:rsidRPr="00DE195A">
        <w:rPr>
          <w:rFonts w:ascii="Arial" w:hAnsi="Arial" w:cs="Arial"/>
          <w:sz w:val="20"/>
        </w:rPr>
        <w:t xml:space="preserve"> market.  </w:t>
      </w:r>
      <w:r w:rsidRPr="00AF3475">
        <w:rPr>
          <w:rFonts w:ascii="Arial" w:hAnsi="Arial" w:cs="Arial"/>
          <w:sz w:val="20"/>
        </w:rPr>
        <w:t xml:space="preserve">Market data on the total cost </w:t>
      </w:r>
      <w:r>
        <w:rPr>
          <w:rFonts w:ascii="Arial" w:hAnsi="Arial" w:cs="Arial"/>
          <w:sz w:val="20"/>
        </w:rPr>
        <w:t>of</w:t>
      </w:r>
      <w:r w:rsidRPr="00AF3475">
        <w:rPr>
          <w:rFonts w:ascii="Arial" w:hAnsi="Arial" w:cs="Arial"/>
          <w:sz w:val="20"/>
        </w:rPr>
        <w:t xml:space="preserve"> the medical and dental </w:t>
      </w:r>
      <w:r>
        <w:rPr>
          <w:rFonts w:ascii="Arial" w:hAnsi="Arial" w:cs="Arial"/>
          <w:sz w:val="20"/>
        </w:rPr>
        <w:t>plans is shown, indicating that</w:t>
      </w:r>
      <w:r w:rsidRPr="00AF3475">
        <w:rPr>
          <w:rFonts w:ascii="Arial" w:hAnsi="Arial" w:cs="Arial"/>
          <w:sz w:val="20"/>
        </w:rPr>
        <w:t xml:space="preserve"> the individual plan relative to our market is high, yet the total cost of the family plan is somewhat lower than market. </w:t>
      </w:r>
      <w:r>
        <w:rPr>
          <w:rFonts w:ascii="Arial" w:hAnsi="Arial" w:cs="Arial"/>
          <w:sz w:val="20"/>
        </w:rPr>
        <w:t xml:space="preserve">Staff plans to further review this data and bring forward recommendations in the future to assure we are more in line with market for both individual and family coverage.  </w:t>
      </w:r>
    </w:p>
    <w:p w:rsidR="007B66C1" w:rsidRDefault="007B66C1" w:rsidP="007B66C1">
      <w:pPr>
        <w:rPr>
          <w:rFonts w:ascii="Arial" w:hAnsi="Arial" w:cs="Arial"/>
          <w:sz w:val="20"/>
        </w:rPr>
      </w:pPr>
    </w:p>
    <w:p w:rsidR="007B66C1" w:rsidRPr="00AF3475" w:rsidRDefault="007B66C1" w:rsidP="007B66C1">
      <w:pPr>
        <w:rPr>
          <w:rFonts w:ascii="Arial" w:hAnsi="Arial" w:cs="Arial"/>
          <w:sz w:val="20"/>
        </w:rPr>
      </w:pPr>
      <w:r>
        <w:rPr>
          <w:rFonts w:ascii="Arial" w:hAnsi="Arial" w:cs="Arial"/>
          <w:sz w:val="20"/>
        </w:rPr>
        <w:lastRenderedPageBreak/>
        <w:t>Regarding premiums for the coming fiscal year, our projected medical cost increase is 5% and our projected dental cost increase is 7%. However, b</w:t>
      </w:r>
      <w:r w:rsidRPr="00AF3475">
        <w:rPr>
          <w:rFonts w:ascii="Arial" w:hAnsi="Arial" w:cs="Arial"/>
          <w:sz w:val="20"/>
        </w:rPr>
        <w:t xml:space="preserve">ased on the current projected </w:t>
      </w:r>
      <w:r>
        <w:rPr>
          <w:rFonts w:ascii="Arial" w:hAnsi="Arial" w:cs="Arial"/>
          <w:sz w:val="20"/>
        </w:rPr>
        <w:t xml:space="preserve">Health Care Reserve Fund </w:t>
      </w:r>
      <w:r w:rsidRPr="00AF3475">
        <w:rPr>
          <w:rFonts w:ascii="Arial" w:hAnsi="Arial" w:cs="Arial"/>
          <w:sz w:val="20"/>
        </w:rPr>
        <w:t xml:space="preserve">balance, staff recommends utilizing our strong reserves to offset </w:t>
      </w:r>
      <w:r>
        <w:rPr>
          <w:rFonts w:ascii="Arial" w:hAnsi="Arial" w:cs="Arial"/>
          <w:sz w:val="20"/>
        </w:rPr>
        <w:t>the</w:t>
      </w:r>
      <w:r w:rsidRPr="00AF3475">
        <w:rPr>
          <w:rFonts w:ascii="Arial" w:hAnsi="Arial" w:cs="Arial"/>
          <w:sz w:val="20"/>
        </w:rPr>
        <w:t xml:space="preserve"> </w:t>
      </w:r>
      <w:r>
        <w:rPr>
          <w:rFonts w:ascii="Arial" w:hAnsi="Arial" w:cs="Arial"/>
          <w:sz w:val="20"/>
        </w:rPr>
        <w:t xml:space="preserve">projected </w:t>
      </w:r>
      <w:r w:rsidRPr="00AF3475">
        <w:rPr>
          <w:rFonts w:ascii="Arial" w:hAnsi="Arial" w:cs="Arial"/>
          <w:sz w:val="20"/>
        </w:rPr>
        <w:t xml:space="preserve">medical increase in the </w:t>
      </w:r>
      <w:r>
        <w:rPr>
          <w:rFonts w:ascii="Arial" w:hAnsi="Arial" w:cs="Arial"/>
          <w:sz w:val="20"/>
        </w:rPr>
        <w:t>coming fiscal year.</w:t>
      </w:r>
      <w:r w:rsidRPr="00AF3475">
        <w:rPr>
          <w:rFonts w:ascii="Arial" w:hAnsi="Arial" w:cs="Arial"/>
          <w:sz w:val="20"/>
        </w:rPr>
        <w:t xml:space="preserve">  </w:t>
      </w:r>
    </w:p>
    <w:p w:rsidR="007B66C1" w:rsidRPr="00325FBA" w:rsidRDefault="007B66C1" w:rsidP="007B66C1">
      <w:pPr>
        <w:rPr>
          <w:rFonts w:ascii="Arial" w:hAnsi="Arial" w:cs="Arial"/>
          <w:sz w:val="16"/>
          <w:szCs w:val="16"/>
        </w:rPr>
      </w:pPr>
    </w:p>
    <w:p w:rsidR="007B66C1" w:rsidRPr="005E7835" w:rsidRDefault="007B66C1" w:rsidP="007B66C1">
      <w:pPr>
        <w:rPr>
          <w:rFonts w:ascii="Arial" w:hAnsi="Arial" w:cs="Arial"/>
          <w:sz w:val="20"/>
          <w:u w:val="single"/>
        </w:rPr>
      </w:pPr>
      <w:r w:rsidRPr="005E7835">
        <w:rPr>
          <w:rFonts w:ascii="Arial" w:hAnsi="Arial" w:cs="Arial"/>
          <w:sz w:val="20"/>
          <w:u w:val="single"/>
        </w:rPr>
        <w:t>Virginia Retirement System (VRS)</w:t>
      </w:r>
    </w:p>
    <w:p w:rsidR="007B66C1" w:rsidRDefault="007B66C1" w:rsidP="007B66C1">
      <w:pPr>
        <w:rPr>
          <w:rFonts w:ascii="Arial" w:hAnsi="Arial" w:cs="Arial"/>
          <w:sz w:val="20"/>
        </w:rPr>
      </w:pPr>
      <w:r w:rsidRPr="00DE195A">
        <w:rPr>
          <w:rFonts w:ascii="Arial" w:hAnsi="Arial" w:cs="Arial"/>
          <w:sz w:val="20"/>
        </w:rPr>
        <w:t xml:space="preserve">Employees hired after July 1, 2010 and not currently in the VRS Plan 1 are </w:t>
      </w:r>
      <w:r>
        <w:rPr>
          <w:rFonts w:ascii="Arial" w:hAnsi="Arial" w:cs="Arial"/>
          <w:sz w:val="20"/>
        </w:rPr>
        <w:t xml:space="preserve">provided retirement benefits under VRS Plan 2 and are currently </w:t>
      </w:r>
      <w:r w:rsidRPr="00DE195A">
        <w:rPr>
          <w:rFonts w:ascii="Arial" w:hAnsi="Arial" w:cs="Arial"/>
          <w:sz w:val="20"/>
        </w:rPr>
        <w:t xml:space="preserve">required to pay the 5% member contribution. </w:t>
      </w:r>
      <w:r>
        <w:rPr>
          <w:rFonts w:ascii="Arial" w:hAnsi="Arial" w:cs="Arial"/>
          <w:sz w:val="20"/>
        </w:rPr>
        <w:t xml:space="preserve"> The Boards are enabled by state law to either elect to pay this contribution or require the VRS Plan 2 employee to do so.  </w:t>
      </w:r>
      <w:r w:rsidRPr="00DE195A">
        <w:rPr>
          <w:rFonts w:ascii="Arial" w:hAnsi="Arial" w:cs="Arial"/>
          <w:sz w:val="20"/>
        </w:rPr>
        <w:t>The Boards directed staff to assess market trends and present a recommendation for FY2011-12.  Market data</w:t>
      </w:r>
      <w:r>
        <w:rPr>
          <w:rFonts w:ascii="Arial" w:hAnsi="Arial" w:cs="Arial"/>
          <w:sz w:val="20"/>
        </w:rPr>
        <w:t xml:space="preserve"> included in attachment 4</w:t>
      </w:r>
      <w:r w:rsidRPr="00DE195A">
        <w:rPr>
          <w:rFonts w:ascii="Arial" w:hAnsi="Arial" w:cs="Arial"/>
          <w:sz w:val="20"/>
        </w:rPr>
        <w:t xml:space="preserve"> indicates that </w:t>
      </w:r>
      <w:r>
        <w:rPr>
          <w:rFonts w:ascii="Arial" w:hAnsi="Arial" w:cs="Arial"/>
          <w:sz w:val="20"/>
        </w:rPr>
        <w:t xml:space="preserve">only one school division (out of 26) and ten localities (out of 27) in </w:t>
      </w:r>
      <w:r w:rsidRPr="00DE195A">
        <w:rPr>
          <w:rFonts w:ascii="Arial" w:hAnsi="Arial" w:cs="Arial"/>
          <w:sz w:val="20"/>
        </w:rPr>
        <w:t>the Board</w:t>
      </w:r>
      <w:r>
        <w:rPr>
          <w:rFonts w:ascii="Arial" w:hAnsi="Arial" w:cs="Arial"/>
          <w:sz w:val="20"/>
        </w:rPr>
        <w:t>s’</w:t>
      </w:r>
      <w:r w:rsidRPr="00DE195A">
        <w:rPr>
          <w:rFonts w:ascii="Arial" w:hAnsi="Arial" w:cs="Arial"/>
          <w:sz w:val="20"/>
        </w:rPr>
        <w:t xml:space="preserve"> adopted market </w:t>
      </w:r>
      <w:r>
        <w:rPr>
          <w:rFonts w:ascii="Arial" w:hAnsi="Arial" w:cs="Arial"/>
          <w:sz w:val="20"/>
        </w:rPr>
        <w:t xml:space="preserve">are </w:t>
      </w:r>
      <w:r w:rsidRPr="00DE195A">
        <w:rPr>
          <w:rFonts w:ascii="Arial" w:hAnsi="Arial" w:cs="Arial"/>
          <w:sz w:val="20"/>
        </w:rPr>
        <w:t xml:space="preserve">requiring newly hired employees to fund the </w:t>
      </w:r>
      <w:r>
        <w:rPr>
          <w:rFonts w:ascii="Arial" w:hAnsi="Arial" w:cs="Arial"/>
          <w:sz w:val="20"/>
        </w:rPr>
        <w:t xml:space="preserve">member contribution.  </w:t>
      </w:r>
      <w:r w:rsidRPr="00AF3475">
        <w:rPr>
          <w:rFonts w:ascii="Arial" w:hAnsi="Arial" w:cs="Arial"/>
          <w:sz w:val="20"/>
        </w:rPr>
        <w:t xml:space="preserve">Most localities and school divisions throughout the state have chosen to fund that amount. </w:t>
      </w:r>
    </w:p>
    <w:p w:rsidR="007B66C1" w:rsidRDefault="007B66C1" w:rsidP="007B66C1">
      <w:pPr>
        <w:rPr>
          <w:rFonts w:ascii="Arial" w:hAnsi="Arial" w:cs="Arial"/>
          <w:sz w:val="20"/>
        </w:rPr>
      </w:pPr>
    </w:p>
    <w:p w:rsidR="007B66C1" w:rsidRPr="00423D9C" w:rsidRDefault="007B66C1" w:rsidP="007B66C1">
      <w:pPr>
        <w:rPr>
          <w:rFonts w:ascii="Arial" w:hAnsi="Arial" w:cs="Arial"/>
          <w:sz w:val="20"/>
        </w:rPr>
      </w:pPr>
      <w:r>
        <w:rPr>
          <w:rFonts w:ascii="Arial" w:hAnsi="Arial" w:cs="Arial"/>
          <w:sz w:val="20"/>
        </w:rPr>
        <w:t xml:space="preserve">Based on the Board’s adopted strategy to target benefits slightly above market, it is recommended that the Joint Boards fund the employee member contribution for FY2011-12. </w:t>
      </w:r>
      <w:r w:rsidRPr="00423D9C">
        <w:rPr>
          <w:rFonts w:ascii="Arial" w:hAnsi="Arial" w:cs="Arial"/>
          <w:sz w:val="20"/>
        </w:rPr>
        <w:t>In</w:t>
      </w:r>
      <w:r w:rsidRPr="0048256D">
        <w:rPr>
          <w:rFonts w:ascii="Arial" w:hAnsi="Arial" w:cs="Arial"/>
          <w:i/>
          <w:sz w:val="20"/>
        </w:rPr>
        <w:t xml:space="preserve"> </w:t>
      </w:r>
      <w:r w:rsidRPr="00423D9C">
        <w:rPr>
          <w:rFonts w:ascii="Arial" w:hAnsi="Arial" w:cs="Arial"/>
          <w:sz w:val="20"/>
        </w:rPr>
        <w:t xml:space="preserve">addition, based on the market and state-wide data, staff also believes the County will have a hard time recruiting new hires not currently in VRS.  At the previous meeting of the two Board’s regarding the VRS benefits, it was suggested that higher salaries could be offered to newly hired employees required to contribute the 5% member contribution in an effort to offset that contribution.  As indicated in attachment 4, creating a second salary scale is not a desirable option </w:t>
      </w:r>
      <w:r>
        <w:rPr>
          <w:rFonts w:ascii="Arial" w:hAnsi="Arial" w:cs="Arial"/>
          <w:sz w:val="20"/>
        </w:rPr>
        <w:t xml:space="preserve">for several reasons.  The </w:t>
      </w:r>
      <w:r w:rsidRPr="00423D9C">
        <w:rPr>
          <w:rFonts w:ascii="Arial" w:hAnsi="Arial" w:cs="Arial"/>
          <w:sz w:val="20"/>
        </w:rPr>
        <w:t>salary costs would actually be increased due to higher payroll taxes and benefits costs</w:t>
      </w:r>
      <w:r>
        <w:rPr>
          <w:rFonts w:ascii="Arial" w:hAnsi="Arial" w:cs="Arial"/>
          <w:sz w:val="20"/>
        </w:rPr>
        <w:t>.  Additionally,</w:t>
      </w:r>
      <w:r w:rsidRPr="00423D9C">
        <w:rPr>
          <w:rFonts w:ascii="Arial" w:hAnsi="Arial" w:cs="Arial"/>
          <w:sz w:val="20"/>
        </w:rPr>
        <w:t xml:space="preserve"> inequities</w:t>
      </w:r>
      <w:r>
        <w:rPr>
          <w:rFonts w:ascii="Arial" w:hAnsi="Arial" w:cs="Arial"/>
          <w:sz w:val="20"/>
        </w:rPr>
        <w:t xml:space="preserve"> are not alleviated by offering higher salaries, </w:t>
      </w:r>
      <w:r w:rsidRPr="00423D9C">
        <w:rPr>
          <w:rFonts w:ascii="Arial" w:hAnsi="Arial" w:cs="Arial"/>
          <w:sz w:val="20"/>
        </w:rPr>
        <w:t xml:space="preserve">as those employees with inflated salaries would receive greater VRS and Social Security benefits. </w:t>
      </w:r>
    </w:p>
    <w:p w:rsidR="007B66C1" w:rsidRPr="00423D9C" w:rsidRDefault="007B66C1" w:rsidP="007B66C1">
      <w:pPr>
        <w:rPr>
          <w:rFonts w:ascii="Arial" w:hAnsi="Arial" w:cs="Arial"/>
          <w:sz w:val="20"/>
        </w:rPr>
      </w:pPr>
    </w:p>
    <w:p w:rsidR="007B66C1" w:rsidRPr="005E7835" w:rsidRDefault="007B66C1" w:rsidP="007B66C1">
      <w:pPr>
        <w:rPr>
          <w:rFonts w:ascii="Arial" w:hAnsi="Arial" w:cs="Arial"/>
          <w:sz w:val="20"/>
          <w:u w:val="single"/>
        </w:rPr>
      </w:pPr>
      <w:r w:rsidRPr="005E7835">
        <w:rPr>
          <w:rFonts w:ascii="Arial" w:hAnsi="Arial" w:cs="Arial"/>
          <w:sz w:val="20"/>
          <w:u w:val="single"/>
        </w:rPr>
        <w:t>Health Care Reserve Fund</w:t>
      </w:r>
    </w:p>
    <w:p w:rsidR="007B66C1" w:rsidRPr="00DE195A" w:rsidRDefault="007B66C1" w:rsidP="007B66C1">
      <w:pPr>
        <w:rPr>
          <w:rFonts w:ascii="Arial" w:hAnsi="Arial" w:cs="Arial"/>
          <w:sz w:val="20"/>
        </w:rPr>
      </w:pPr>
      <w:r>
        <w:rPr>
          <w:rFonts w:ascii="Arial" w:hAnsi="Arial" w:cs="Arial"/>
          <w:sz w:val="20"/>
        </w:rPr>
        <w:t>As the information on the Health Care Reserve Fund indicates (attachment 4), the opportunity exists for the Boards to fund a one-time lump sum bonus payment for employees.  Because the reserve is stronger than projected due to our claims experience, the budgeted medical increase for FY 2010-11 was funded from the Health Care Reserve Fund, resulting in a cost savings in the General Fund.  Staff recommends that t</w:t>
      </w:r>
      <w:r w:rsidRPr="00DE195A">
        <w:rPr>
          <w:rFonts w:ascii="Arial" w:hAnsi="Arial" w:cs="Arial"/>
          <w:sz w:val="20"/>
        </w:rPr>
        <w:t>he Board</w:t>
      </w:r>
      <w:r>
        <w:rPr>
          <w:rFonts w:ascii="Arial" w:hAnsi="Arial" w:cs="Arial"/>
          <w:sz w:val="20"/>
        </w:rPr>
        <w:t>s</w:t>
      </w:r>
      <w:r w:rsidRPr="00DE195A">
        <w:rPr>
          <w:rFonts w:ascii="Arial" w:hAnsi="Arial" w:cs="Arial"/>
          <w:sz w:val="20"/>
        </w:rPr>
        <w:t xml:space="preserve"> </w:t>
      </w:r>
      <w:r>
        <w:rPr>
          <w:rFonts w:ascii="Arial" w:hAnsi="Arial" w:cs="Arial"/>
          <w:sz w:val="20"/>
        </w:rPr>
        <w:t xml:space="preserve">consider utilizing this savings by providing a </w:t>
      </w:r>
      <w:r w:rsidRPr="00DE195A">
        <w:rPr>
          <w:rFonts w:ascii="Arial" w:hAnsi="Arial" w:cs="Arial"/>
          <w:sz w:val="20"/>
        </w:rPr>
        <w:t>one-time bonus payment</w:t>
      </w:r>
      <w:r>
        <w:rPr>
          <w:rFonts w:ascii="Arial" w:hAnsi="Arial" w:cs="Arial"/>
          <w:sz w:val="20"/>
        </w:rPr>
        <w:t xml:space="preserve"> of $350 </w:t>
      </w:r>
      <w:r w:rsidRPr="00DE195A">
        <w:rPr>
          <w:rFonts w:ascii="Arial" w:hAnsi="Arial" w:cs="Arial"/>
          <w:sz w:val="20"/>
        </w:rPr>
        <w:t>to</w:t>
      </w:r>
      <w:r>
        <w:rPr>
          <w:rFonts w:ascii="Arial" w:hAnsi="Arial" w:cs="Arial"/>
          <w:sz w:val="20"/>
        </w:rPr>
        <w:t xml:space="preserve"> employees to</w:t>
      </w:r>
      <w:r w:rsidRPr="00DE195A">
        <w:rPr>
          <w:rFonts w:ascii="Arial" w:hAnsi="Arial" w:cs="Arial"/>
          <w:sz w:val="20"/>
        </w:rPr>
        <w:t xml:space="preserve"> show appreciation of </w:t>
      </w:r>
      <w:r>
        <w:rPr>
          <w:rFonts w:ascii="Arial" w:hAnsi="Arial" w:cs="Arial"/>
          <w:sz w:val="20"/>
        </w:rPr>
        <w:t xml:space="preserve">their </w:t>
      </w:r>
      <w:r w:rsidRPr="00DE195A">
        <w:rPr>
          <w:rFonts w:ascii="Arial" w:hAnsi="Arial" w:cs="Arial"/>
          <w:sz w:val="20"/>
        </w:rPr>
        <w:t>dedicated service</w:t>
      </w:r>
      <w:r>
        <w:rPr>
          <w:rFonts w:ascii="Arial" w:hAnsi="Arial" w:cs="Arial"/>
          <w:sz w:val="20"/>
        </w:rPr>
        <w:t xml:space="preserve"> during times of employee cutbacks, assuming additional duties and staffing reallocation.</w:t>
      </w:r>
      <w:r w:rsidRPr="00DE195A">
        <w:rPr>
          <w:rFonts w:ascii="Arial" w:hAnsi="Arial" w:cs="Arial"/>
          <w:sz w:val="20"/>
        </w:rPr>
        <w:t xml:space="preserve"> </w:t>
      </w:r>
    </w:p>
    <w:p w:rsidR="007B66C1" w:rsidRPr="00AF3475" w:rsidRDefault="007B66C1" w:rsidP="007B66C1">
      <w:pPr>
        <w:rPr>
          <w:rFonts w:ascii="Arial" w:hAnsi="Arial" w:cs="Arial"/>
          <w:sz w:val="20"/>
        </w:rPr>
      </w:pPr>
    </w:p>
    <w:p w:rsidR="007B66C1" w:rsidRPr="005E7835" w:rsidRDefault="007B66C1" w:rsidP="007B66C1">
      <w:pPr>
        <w:rPr>
          <w:rFonts w:ascii="Arial" w:hAnsi="Arial" w:cs="Arial"/>
          <w:b/>
          <w:sz w:val="20"/>
        </w:rPr>
      </w:pPr>
      <w:r w:rsidRPr="005E7835">
        <w:rPr>
          <w:rFonts w:ascii="Arial" w:hAnsi="Arial" w:cs="Arial"/>
          <w:b/>
          <w:sz w:val="20"/>
        </w:rPr>
        <w:t>3) Wellness Updates</w:t>
      </w:r>
    </w:p>
    <w:p w:rsidR="007B66C1" w:rsidRPr="00325FBA" w:rsidRDefault="007B66C1" w:rsidP="007B66C1">
      <w:pPr>
        <w:rPr>
          <w:rFonts w:ascii="Arial" w:hAnsi="Arial" w:cs="Arial"/>
          <w:sz w:val="8"/>
        </w:rPr>
      </w:pPr>
    </w:p>
    <w:p w:rsidR="007B66C1" w:rsidRPr="00DE195A" w:rsidRDefault="007B66C1" w:rsidP="007B66C1">
      <w:pPr>
        <w:rPr>
          <w:rFonts w:ascii="Arial" w:hAnsi="Arial" w:cs="Arial"/>
          <w:sz w:val="20"/>
        </w:rPr>
      </w:pPr>
      <w:r w:rsidRPr="00DE195A">
        <w:rPr>
          <w:rFonts w:ascii="Arial" w:hAnsi="Arial" w:cs="Arial"/>
          <w:sz w:val="20"/>
        </w:rPr>
        <w:t>Information on the comprehensive wellness program for employees is detailed in Attachment 6.</w:t>
      </w:r>
    </w:p>
    <w:p w:rsidR="007B66C1" w:rsidRPr="00325FBA" w:rsidRDefault="007B66C1" w:rsidP="007B66C1">
      <w:pPr>
        <w:rPr>
          <w:rFonts w:ascii="Arial" w:hAnsi="Arial" w:cs="Arial"/>
          <w:szCs w:val="24"/>
        </w:rPr>
      </w:pPr>
    </w:p>
    <w:p w:rsidR="008D5C0B" w:rsidRDefault="007B66C1"/>
    <w:sectPr w:rsidR="008D5C0B" w:rsidSect="000F6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F28FA"/>
    <w:multiLevelType w:val="hybridMultilevel"/>
    <w:tmpl w:val="953820F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66C1"/>
    <w:rsid w:val="00034FD4"/>
    <w:rsid w:val="00035996"/>
    <w:rsid w:val="000E2330"/>
    <w:rsid w:val="000F6A7B"/>
    <w:rsid w:val="00124F1A"/>
    <w:rsid w:val="00133D80"/>
    <w:rsid w:val="001E168A"/>
    <w:rsid w:val="001F662C"/>
    <w:rsid w:val="002445FD"/>
    <w:rsid w:val="00280625"/>
    <w:rsid w:val="00303237"/>
    <w:rsid w:val="004E6395"/>
    <w:rsid w:val="005761EE"/>
    <w:rsid w:val="00584529"/>
    <w:rsid w:val="00586BF7"/>
    <w:rsid w:val="006A638F"/>
    <w:rsid w:val="007B66C1"/>
    <w:rsid w:val="00812182"/>
    <w:rsid w:val="00842578"/>
    <w:rsid w:val="0084520E"/>
    <w:rsid w:val="008F6F29"/>
    <w:rsid w:val="00994206"/>
    <w:rsid w:val="00A80E8E"/>
    <w:rsid w:val="00B24E31"/>
    <w:rsid w:val="00BE0053"/>
    <w:rsid w:val="00C37E94"/>
    <w:rsid w:val="00CA3A6A"/>
    <w:rsid w:val="00CA5827"/>
    <w:rsid w:val="00CD59C1"/>
    <w:rsid w:val="00D12076"/>
    <w:rsid w:val="00D26387"/>
    <w:rsid w:val="00D340E1"/>
    <w:rsid w:val="00D35145"/>
    <w:rsid w:val="00D7083C"/>
    <w:rsid w:val="00DB4C20"/>
    <w:rsid w:val="00E562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C1"/>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6C1"/>
    <w:pPr>
      <w:widowControl/>
      <w:snapToGrid/>
      <w:ind w:left="720"/>
      <w:contextualSpacing/>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1007</Words>
  <Characters>5740</Characters>
  <Application>Microsoft Office Word</Application>
  <DocSecurity>0</DocSecurity>
  <Lines>47</Lines>
  <Paragraphs>13</Paragraphs>
  <ScaleCrop>false</ScaleCrop>
  <Company>County of Albemarle</Company>
  <LinksUpToDate>false</LinksUpToDate>
  <CharactersWithSpaces>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Gerome</dc:creator>
  <cp:keywords/>
  <dc:description/>
  <cp:lastModifiedBy>Lorna Gerome</cp:lastModifiedBy>
  <cp:revision>1</cp:revision>
  <dcterms:created xsi:type="dcterms:W3CDTF">2010-10-04T19:25:00Z</dcterms:created>
  <dcterms:modified xsi:type="dcterms:W3CDTF">2010-10-04T19:26:00Z</dcterms:modified>
</cp:coreProperties>
</file>